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096"/>
        <w:rPr>
          <w:sz w:val="28"/>
          <w:szCs w:val="28"/>
        </w:rPr>
      </w:pPr>
      <w:r>
        <w:rPr>
          <w:sz w:val="28"/>
          <w:szCs w:val="28"/>
        </w:rPr>
        <w:t>Приложение № 1</w:t>
      </w:r>
    </w:p>
    <w:p>
      <w:pPr>
        <w:ind w:left="6096"/>
        <w:rPr>
          <w:sz w:val="28"/>
          <w:szCs w:val="28"/>
        </w:rPr>
      </w:pPr>
    </w:p>
    <w:p>
      <w:pPr>
        <w:ind w:left="6096"/>
        <w:rPr>
          <w:sz w:val="28"/>
          <w:szCs w:val="28"/>
        </w:rPr>
      </w:pPr>
      <w:r>
        <w:rPr>
          <w:sz w:val="28"/>
          <w:szCs w:val="28"/>
        </w:rPr>
        <w:t>УТВЕРЖДЕНО</w:t>
      </w:r>
    </w:p>
    <w:p>
      <w:pPr>
        <w:ind w:left="6096"/>
        <w:rPr>
          <w:rFonts w:hint="default"/>
          <w:i/>
          <w:sz w:val="28"/>
          <w:szCs w:val="28"/>
          <w:lang w:val="ru-RU"/>
        </w:rPr>
      </w:pPr>
      <w:r>
        <w:rPr>
          <w:sz w:val="28"/>
          <w:szCs w:val="28"/>
        </w:rPr>
        <w:t xml:space="preserve">приказом </w:t>
      </w:r>
      <w:r>
        <w:rPr>
          <w:sz w:val="28"/>
          <w:szCs w:val="28"/>
          <w:lang w:val="ru-RU"/>
        </w:rPr>
        <w:t>МКДОУ</w:t>
      </w:r>
      <w:r>
        <w:rPr>
          <w:rFonts w:hint="default"/>
          <w:sz w:val="28"/>
          <w:szCs w:val="28"/>
          <w:lang w:val="ru-RU"/>
        </w:rPr>
        <w:t xml:space="preserve"> д/с №1 д.Стулово</w:t>
      </w:r>
    </w:p>
    <w:p>
      <w:pPr>
        <w:ind w:left="6096"/>
        <w:rPr>
          <w:rFonts w:hint="default"/>
          <w:sz w:val="28"/>
          <w:szCs w:val="28"/>
          <w:lang w:val="ru-RU"/>
        </w:rPr>
      </w:pPr>
      <w:r>
        <w:rPr>
          <w:sz w:val="28"/>
          <w:szCs w:val="28"/>
        </w:rPr>
        <w:t xml:space="preserve">от  </w:t>
      </w:r>
      <w:r>
        <w:rPr>
          <w:rFonts w:hint="default"/>
          <w:sz w:val="28"/>
          <w:szCs w:val="28"/>
          <w:lang w:val="ru-RU"/>
        </w:rPr>
        <w:t>05.04.2024</w:t>
      </w:r>
      <w:r>
        <w:rPr>
          <w:sz w:val="28"/>
          <w:szCs w:val="28"/>
        </w:rPr>
        <w:t xml:space="preserve">        № </w:t>
      </w:r>
      <w:r>
        <w:rPr>
          <w:rFonts w:hint="default"/>
          <w:sz w:val="28"/>
          <w:szCs w:val="28"/>
          <w:lang w:val="ru-RU"/>
        </w:rPr>
        <w:t>52</w:t>
      </w:r>
      <w:bookmarkStart w:id="0" w:name="_GoBack"/>
      <w:bookmarkEnd w:id="0"/>
    </w:p>
    <w:p>
      <w:pPr>
        <w:spacing w:before="480"/>
        <w:jc w:val="center"/>
        <w:rPr>
          <w:b/>
          <w:sz w:val="28"/>
          <w:szCs w:val="28"/>
        </w:rPr>
      </w:pPr>
      <w:r>
        <w:rPr>
          <w:b/>
          <w:sz w:val="28"/>
          <w:szCs w:val="28"/>
        </w:rPr>
        <w:t>ПОЛОЖЕНИЕ</w:t>
      </w:r>
    </w:p>
    <w:p>
      <w:pPr>
        <w:jc w:val="center"/>
        <w:rPr>
          <w:b/>
          <w:sz w:val="28"/>
          <w:szCs w:val="28"/>
        </w:rPr>
      </w:pPr>
      <w:r>
        <w:rPr>
          <w:b/>
          <w:sz w:val="28"/>
          <w:szCs w:val="28"/>
        </w:rPr>
        <w:t xml:space="preserve">об антикоррупционной политике </w:t>
      </w:r>
    </w:p>
    <w:p>
      <w:pPr>
        <w:jc w:val="center"/>
        <w:rPr>
          <w:rFonts w:hint="default"/>
          <w:b/>
          <w:sz w:val="28"/>
          <w:szCs w:val="28"/>
          <w:lang w:val="ru-RU"/>
        </w:rPr>
      </w:pPr>
      <w:r>
        <w:rPr>
          <w:b/>
          <w:sz w:val="28"/>
          <w:szCs w:val="28"/>
          <w:lang w:val="ru-RU"/>
        </w:rPr>
        <w:t>Муниципального</w:t>
      </w:r>
      <w:r>
        <w:rPr>
          <w:rFonts w:hint="default"/>
          <w:b/>
          <w:sz w:val="28"/>
          <w:szCs w:val="28"/>
          <w:lang w:val="ru-RU"/>
        </w:rPr>
        <w:t xml:space="preserve"> казенного дошкольного образовательного учреждения детского сада комбинированного вида №1 д.Стулово Слободского района Кировской области</w:t>
      </w:r>
    </w:p>
    <w:p>
      <w:pPr>
        <w:pStyle w:val="24"/>
        <w:spacing w:before="480"/>
        <w:ind w:firstLine="709"/>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1.1. Антикоррупционная политика </w:t>
      </w:r>
      <w:r>
        <w:rPr>
          <w:rFonts w:hint="default" w:ascii="Times New Roman" w:hAnsi="Times New Roman" w:cs="Times New Roman"/>
          <w:sz w:val="24"/>
          <w:szCs w:val="24"/>
          <w:lang w:val="ru-RU"/>
        </w:rPr>
        <w:t xml:space="preserve">Муниципального казенного дошкольного образовательного учреждения детского сада комбинированного вида №1 д.Стулово Слободского района Кировской области </w:t>
      </w:r>
      <w:r>
        <w:rPr>
          <w:rFonts w:hint="default" w:ascii="Times New Roman" w:hAnsi="Times New Roman" w:cs="Times New Roman"/>
          <w:sz w:val="24"/>
          <w:szCs w:val="24"/>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hint="default" w:ascii="Times New Roman" w:hAnsi="Times New Roman" w:cs="Times New Roman"/>
          <w:sz w:val="24"/>
          <w:szCs w:val="24"/>
          <w:lang w:val="ru-RU"/>
        </w:rPr>
        <w:t>Муниципального казенного дошкольного образовательного учреждения детского сада комбинированного вида №1 д.Стулово Слободского района Кировской области</w:t>
      </w:r>
      <w:r>
        <w:rPr>
          <w:rFonts w:hint="default" w:ascii="Times New Roman" w:hAnsi="Times New Roman" w:cs="Times New Roman"/>
          <w:sz w:val="24"/>
          <w:szCs w:val="24"/>
        </w:rPr>
        <w:t xml:space="preserve"> (далее ‒ Учреждение), закрепленных в настоящем Положении об антикоррупционной политике </w:t>
      </w:r>
      <w:r>
        <w:rPr>
          <w:rFonts w:hint="default" w:ascii="Times New Roman" w:hAnsi="Times New Roman" w:cs="Times New Roman"/>
          <w:sz w:val="24"/>
          <w:szCs w:val="24"/>
          <w:lang w:val="ru-RU"/>
        </w:rPr>
        <w:t>Муниципального казенного дошкольного образовательного учреждения детского сада комбинированного вида №1 д.Стулово Слободского района Кировской области</w:t>
      </w:r>
      <w:r>
        <w:rPr>
          <w:rFonts w:hint="default" w:ascii="Times New Roman" w:hAnsi="Times New Roman" w:cs="Times New Roman"/>
          <w:sz w:val="24"/>
          <w:szCs w:val="24"/>
        </w:rPr>
        <w:t xml:space="preserve"> (далее – Положение).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1.2. Настоящее Положение разработано в соответствии с положениями Федерального закона от 25.12.2008 № 273-ФЗ «О противодействии коррупции»,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Pr>
          <w:rFonts w:hint="default" w:ascii="Times New Roman" w:hAnsi="Times New Roman" w:cs="Times New Roman"/>
          <w:sz w:val="24"/>
          <w:szCs w:val="24"/>
        </w:rPr>
        <w:br w:type="textWrapping"/>
      </w:r>
      <w:r>
        <w:rPr>
          <w:rFonts w:hint="default"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и других локальных нормативных актов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1.3. Целями антикоррупционной политики Учреждения являются: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соответствия деятельности Учреждения требованиям антикоррупционного законодательства;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минимизация рисков вовлечения Учреждения и его работников в коррупционную деятельность;</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единого подхода к организации работы по предупреждению коррупции в Учреждении;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у работников Учреждения нетерпимости к коррупционному поведению.</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1.4. Задачами антикоррупционной политики Учреждения являются: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определение основных принципов работы по предупреждению коррупции в Учреждении;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реализация мер, направленных на профилактику и противодействие коррупции в Учреждении.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1.5. Для целей настоящего Положения используются следующие основные понятия: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Pr>
          <w:rFonts w:hint="default" w:ascii="Times New Roman" w:hAnsi="Times New Roman" w:cs="Times New Roman"/>
          <w:sz w:val="24"/>
          <w:szCs w:val="24"/>
        </w:rPr>
        <w:br w:type="textWrapping"/>
      </w:r>
      <w:r>
        <w:rPr>
          <w:rFonts w:hint="default" w:ascii="Times New Roman" w:hAnsi="Times New Roman" w:cs="Times New Roman"/>
          <w:sz w:val="24"/>
          <w:szCs w:val="24"/>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 по минимизации и (или) ликвидации последствий коррупционных правонарушений;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работник Учреждения ‒ физическое лицо, вступившее в трудовые отношения с Учреждением;</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2. Область применения настоящего Положения и круг лиц, на которых распространяется его действие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Настоящее Положение распространяется на руководителя и работников Учреждения вне зависимости от занимаемой должности и выполняемых функций.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государственных (муниципальных) контрактах (договорах), заключаемых Учреждением с такими лицами.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3. Основные принципы антикоррупционной политики Учреждения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Антикоррупционная политика Учреждения основывается на следующих основных принципах:</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б) принцип личного примера руководства.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 принцип вовлеченности работников.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г) принцип соразмерности антикоррупционных процедур коррупционным рискам.</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д) принцип эффективности антикоррупционных процедур.</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е) принцип ответственности и неотвратимости наказания.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Неотвратимость наказания для руководителя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ж) принцип открытости хозяйственной и иной деятельности.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з) принцип постоянного контроля и регулярного мониторинга.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4. Должностные лица Учреждения, ответственные за реализацию антикоррупционных мероприятий</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4.1. Руководитель Учреждения является ответственным за организацию всех мероприятий, направленных на предупреждение коррупции в Учреждении.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должностное лицо, ответственное за профилактику коррупционных и иных правонарушений в Учреждении, и определяет должностных лиц Учреждения, ответственных за реализацию антикоррупционных мероприятий.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4.3. К основным обязанностям должностного лица, ответственного за профилактику коррупционных и иных правонарушений в Учреждении, относятся: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обеспечение деятельности комиссии (наименование учреждения (организации) по соблюдению требований к служебному поведению работников и урегулированию конфликта интересов;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прием, регистрация и организация проверки сообщений о фактах обращения в целях склонения работников Учреждения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обучающих мероприятий по вопросам предупреждения коррупции и индивидуальное консультирование работников;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и проведение оценки коррупционных рисков;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организация заполнения и рассмотрение (проверка) деклараций о конфликте интересов;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профилей работников, участвующих в закупочной деятельности, и участников закупок;</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другие обязанности в сфере противодействия коррупции.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5. Обязанности руководителя и работников Учреждения по предупреждению коррупции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5.1. Гражданин, поступающий на работу в Учреждение, обязан ознакомиться с настоящим Положением под подпись и соблюдать его в процессе трудовой деятельности.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5.2. Соблюдение работником Учреждения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руководствоваться требованиями настоящего Положения и неукоснительно соблюдать принципы антикоррупционной политики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5.4. Работник Учреждения вне зависимости от должности и стажа работы в Учреждении в связи с исполнением им трудовых (должностных) обязанностей обязан:</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Учреждения или иными лицами;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Учреждения о возникшем конфликте интересов либо о возможности его возникновения.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6. Перечень мероприятий по предупреждению коррупции, реализуемых Учреждением </w:t>
      </w:r>
    </w:p>
    <w:p>
      <w:pPr>
        <w:pStyle w:val="20"/>
        <w:bidi w:val="0"/>
        <w:jc w:val="both"/>
        <w:rPr>
          <w:rFonts w:hint="default" w:ascii="Times New Roman" w:hAnsi="Times New Roman" w:cs="Times New Roman"/>
          <w:sz w:val="24"/>
          <w:szCs w:val="24"/>
        </w:rPr>
      </w:pPr>
    </w:p>
    <w:tbl>
      <w:tblPr>
        <w:tblStyle w:val="30"/>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5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Направление</w:t>
            </w:r>
          </w:p>
        </w:tc>
        <w:tc>
          <w:tcPr>
            <w:tcW w:w="5641" w:type="dxa"/>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Мероприятие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3823" w:type="dxa"/>
            <w:vMerge w:val="restart"/>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Нормативное обеспечение, закрепление стандартов поведения и декларация намерений</w:t>
            </w:r>
          </w:p>
        </w:tc>
        <w:tc>
          <w:tcPr>
            <w:tcW w:w="5641" w:type="dxa"/>
            <w:tcBorders>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принятие Кодекса этики и служебного поведения работников Учреждения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3823" w:type="dxa"/>
            <w:vMerge w:val="continue"/>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внедрение положения о конфликте интересов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3823" w:type="dxa"/>
            <w:vMerge w:val="continue"/>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Введение в договоры (контракты), связанные с хозяйственной деятельностью Учреждения, положений о соблюдении антикоррупционных стандартов (антикоррупционной оговорки)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3823" w:type="dxa"/>
            <w:vMerge w:val="continue"/>
          </w:tcPr>
          <w:p>
            <w:pPr>
              <w:pStyle w:val="20"/>
              <w:bidi w:val="0"/>
              <w:jc w:val="both"/>
              <w:rPr>
                <w:rFonts w:hint="default" w:ascii="Times New Roman" w:hAnsi="Times New Roman" w:cs="Times New Roman"/>
                <w:sz w:val="24"/>
                <w:szCs w:val="24"/>
              </w:rPr>
            </w:pPr>
          </w:p>
        </w:tc>
        <w:tc>
          <w:tcPr>
            <w:tcW w:w="5641" w:type="dxa"/>
            <w:tcBorders>
              <w:top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Введение в должностные инструкции и трудовые договоры (при отсутствии должностных инструкций) работников Учреждения антикоррупционных положений, в том числе обязанности по предотвращению и урегулированию конфликта интересов и ответственности за несоблюдение требований по предотвращению и урегулированию конфликта интересов, а также иных обязанностей, связанных с предупреждением коррупции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 w:hRule="atLeast"/>
        </w:trPr>
        <w:tc>
          <w:tcPr>
            <w:tcW w:w="3823" w:type="dxa"/>
            <w:vMerge w:val="restart"/>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Разработка и введение специальных антикоррупционных процедур</w:t>
            </w:r>
          </w:p>
        </w:tc>
        <w:tc>
          <w:tcPr>
            <w:tcW w:w="5641" w:type="dxa"/>
            <w:tcBorders>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Введение процедуры информирования работником Учреждения представителя нанимателя о фактах обращения в целях склонения его к совершению коррупционных правонарушений и порядка рассмотрения таких сообщений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3823" w:type="dxa"/>
            <w:vMerge w:val="continue"/>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Введение процедуры информирования работником Учреждения представителя нанимателя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3823" w:type="dxa"/>
            <w:vMerge w:val="continue"/>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 w:hRule="atLeast"/>
        </w:trPr>
        <w:tc>
          <w:tcPr>
            <w:tcW w:w="3823" w:type="dxa"/>
            <w:vMerge w:val="continue"/>
            <w:tcBorders>
              <w:bottom w:val="single" w:color="auto" w:sz="4" w:space="0"/>
            </w:tcBorders>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3823" w:type="dxa"/>
            <w:vMerge w:val="restart"/>
            <w:tcBorders>
              <w:top w:val="single" w:color="auto" w:sz="4" w:space="0"/>
              <w:left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Обучение и информирование работников Учреждения</w:t>
            </w:r>
          </w:p>
        </w:tc>
        <w:tc>
          <w:tcPr>
            <w:tcW w:w="5641" w:type="dxa"/>
            <w:tcBorders>
              <w:top w:val="single" w:color="auto" w:sz="4" w:space="0"/>
              <w:bottom w:val="single" w:color="auto" w:sz="4" w:space="0"/>
              <w:right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Ознакомление работников Учреждения под подпись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3823" w:type="dxa"/>
            <w:vMerge w:val="continue"/>
            <w:tcBorders>
              <w:left w:val="single" w:color="auto" w:sz="4" w:space="0"/>
              <w:bottom w:val="single" w:color="auto" w:sz="4" w:space="0"/>
            </w:tcBorders>
          </w:tcPr>
          <w:p>
            <w:pPr>
              <w:pStyle w:val="20"/>
              <w:bidi w:val="0"/>
              <w:jc w:val="both"/>
              <w:rPr>
                <w:rFonts w:hint="default" w:ascii="Times New Roman" w:hAnsi="Times New Roman" w:cs="Times New Roman"/>
                <w:sz w:val="24"/>
                <w:szCs w:val="24"/>
              </w:rPr>
            </w:pPr>
          </w:p>
        </w:tc>
        <w:tc>
          <w:tcPr>
            <w:tcW w:w="5641" w:type="dxa"/>
            <w:tcBorders>
              <w:top w:val="single" w:color="auto" w:sz="4" w:space="0"/>
              <w:bottom w:val="single" w:color="auto" w:sz="4" w:space="0"/>
              <w:right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обучающих мероприятий по вопросам противодействия коррупции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3823" w:type="dxa"/>
            <w:vMerge w:val="continue"/>
            <w:tcBorders>
              <w:top w:val="single" w:color="auto" w:sz="4" w:space="0"/>
            </w:tcBorders>
          </w:tcPr>
          <w:p>
            <w:pPr>
              <w:pStyle w:val="20"/>
              <w:bidi w:val="0"/>
              <w:jc w:val="both"/>
              <w:rPr>
                <w:rFonts w:hint="default" w:ascii="Times New Roman" w:hAnsi="Times New Roman" w:cs="Times New Roman"/>
                <w:sz w:val="24"/>
                <w:szCs w:val="24"/>
              </w:rPr>
            </w:pPr>
          </w:p>
        </w:tc>
        <w:tc>
          <w:tcPr>
            <w:tcW w:w="5641" w:type="dxa"/>
            <w:tcBorders>
              <w:top w:val="single" w:color="auto" w:sz="4" w:space="0"/>
            </w:tcBorders>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Оценка результатов проводимой антикоррупционной работы</w:t>
            </w:r>
          </w:p>
        </w:tc>
        <w:tc>
          <w:tcPr>
            <w:tcW w:w="5641" w:type="dxa"/>
          </w:tcPr>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Перечень всех антикоррупционных мероприятий с указанием сроков их выполнения и должностных лиц, ответственных за их реализацию, определяется в плане мероприятий Учреждения по противодействию коррупции, утверждаемом руководителем Учреждения.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7. Меры по предупреждению коррупции при взаимодействии с контрагентами Учреждения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а)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б)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в)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г) включение в договоры (контракты), заключаемые с контрагентами Учреждения, положений о соблюдении антикоррупционных стандартов (антикоррупционной оговорки);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д) размещение на официальном сайте Учреждения (при наличии) информации о мерах по противодействию коррупции, принимаемых в Учреждении.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8. Оценка коррупционных рисков</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8.2. Порядок проведения оценки коррупционных рисков устанавливается Положением об оценке коррупционных рисков в </w:t>
      </w:r>
      <w:r>
        <w:rPr>
          <w:rFonts w:hint="default" w:ascii="Times New Roman" w:hAnsi="Times New Roman" w:cs="Times New Roman"/>
          <w:sz w:val="24"/>
          <w:szCs w:val="24"/>
          <w:lang w:val="ru-RU"/>
        </w:rPr>
        <w:t>Муниципальном казенном дошкольном образовательном учреждении детском саду комбинированного вида №1 д.Стулово Слободского района Кировской области</w:t>
      </w:r>
      <w:r>
        <w:rPr>
          <w:rFonts w:hint="default" w:ascii="Times New Roman" w:hAnsi="Times New Roman" w:cs="Times New Roman"/>
          <w:sz w:val="24"/>
          <w:szCs w:val="24"/>
        </w:rPr>
        <w:t>, утверждаемым приказом  Учреждения.</w:t>
      </w:r>
    </w:p>
    <w:p>
      <w:pPr>
        <w:pStyle w:val="20"/>
        <w:bidi w:val="0"/>
        <w:jc w:val="both"/>
        <w:rPr>
          <w:rFonts w:hint="default" w:ascii="Times New Roman" w:hAnsi="Times New Roman" w:cs="Times New Roman"/>
          <w:sz w:val="24"/>
          <w:szCs w:val="24"/>
          <w:lang w:eastAsia="en-US"/>
        </w:rPr>
      </w:pPr>
      <w:r>
        <w:rPr>
          <w:rFonts w:hint="default" w:ascii="Times New Roman" w:hAnsi="Times New Roman" w:cs="Times New Roman"/>
          <w:sz w:val="24"/>
          <w:szCs w:val="24"/>
        </w:rPr>
        <w:t xml:space="preserve">8.3. По результатам оценки коррупционных рисков составляются карта коррупционных рисков, </w:t>
      </w:r>
      <w:r>
        <w:rPr>
          <w:rFonts w:hint="default" w:ascii="Times New Roman" w:hAnsi="Times New Roman" w:cs="Times New Roman"/>
          <w:sz w:val="24"/>
          <w:szCs w:val="24"/>
          <w:lang w:eastAsia="en-US"/>
        </w:rPr>
        <w:t xml:space="preserve">план мероприятий по минимизации коррупционных рисков </w:t>
      </w:r>
      <w:r>
        <w:rPr>
          <w:rFonts w:hint="default" w:ascii="Times New Roman" w:hAnsi="Times New Roman" w:cs="Times New Roman"/>
          <w:sz w:val="24"/>
          <w:szCs w:val="24"/>
        </w:rPr>
        <w:t>и формируется перечень</w:t>
      </w:r>
      <w:r>
        <w:rPr>
          <w:rFonts w:hint="default" w:ascii="Times New Roman" w:hAnsi="Times New Roman" w:cs="Times New Roman"/>
          <w:sz w:val="24"/>
          <w:szCs w:val="24"/>
          <w:lang w:eastAsia="en-US"/>
        </w:rPr>
        <w:t xml:space="preserve"> должностей, замещение которых связано с коррупционным риском.</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8.4. Перечень должностей, замещение которых связано с коррупционным риском, включает в себя должности: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руководителя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заместителей руководителя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другие должности.</w:t>
      </w:r>
    </w:p>
    <w:p>
      <w:pPr>
        <w:pStyle w:val="20"/>
        <w:bidi w:val="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8.5. Карта коррупционных рисков, план мероприятий по минимизации коррупционных рисков и </w:t>
      </w:r>
      <w:r>
        <w:rPr>
          <w:rFonts w:hint="default" w:ascii="Times New Roman" w:hAnsi="Times New Roman" w:cs="Times New Roman"/>
          <w:sz w:val="24"/>
          <w:szCs w:val="24"/>
        </w:rPr>
        <w:t>перечень должностей, замещение которых связано с коррупционным риском, утверждаются приказом (распоряжением) Учреждения.</w:t>
      </w:r>
    </w:p>
    <w:p>
      <w:pPr>
        <w:pStyle w:val="20"/>
        <w:bidi w:val="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8.6. Работники Учреждения, чьи должности включены в</w:t>
      </w:r>
      <w:r>
        <w:rPr>
          <w:rFonts w:hint="default" w:ascii="Times New Roman" w:hAnsi="Times New Roman" w:cs="Times New Roman"/>
          <w:sz w:val="24"/>
          <w:szCs w:val="24"/>
        </w:rPr>
        <w:t xml:space="preserve"> Перечень должностей, замещение которых связано с коррупционным риском,</w:t>
      </w:r>
      <w:r>
        <w:rPr>
          <w:rFonts w:hint="default" w:ascii="Times New Roman" w:hAnsi="Times New Roman" w:cs="Times New Roman"/>
          <w:sz w:val="24"/>
          <w:szCs w:val="24"/>
          <w:lang w:eastAsia="en-US"/>
        </w:rPr>
        <w:t xml:space="preserve"> при приеме на работу и ежегодно не позднее 30 сентября текущего года представляют декларацию о конфликте интересов по форме, утвержденной приказом (распоряжением)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lang w:eastAsia="en-US"/>
        </w:rPr>
        <w:t>8.7. По результатам оценки коррупционных рисков, возникающих при осуществлении закупок</w:t>
      </w:r>
      <w:r>
        <w:rPr>
          <w:rFonts w:hint="default" w:ascii="Times New Roman" w:hAnsi="Times New Roman" w:cs="Times New Roman"/>
          <w:sz w:val="24"/>
          <w:szCs w:val="24"/>
        </w:rPr>
        <w:t xml:space="preserve"> товаров, работ, услуг для обеспечения государственных (муниципальных) нужд</w:t>
      </w:r>
      <w:r>
        <w:rPr>
          <w:rFonts w:hint="default" w:ascii="Times New Roman" w:hAnsi="Times New Roman" w:cs="Times New Roman"/>
          <w:sz w:val="24"/>
          <w:szCs w:val="24"/>
          <w:lang w:eastAsia="en-US"/>
        </w:rPr>
        <w:t xml:space="preserve">, составляются </w:t>
      </w:r>
      <w:r>
        <w:rPr>
          <w:rFonts w:hint="default" w:ascii="Times New Roman" w:hAnsi="Times New Roman" w:cs="Times New Roman"/>
          <w:sz w:val="24"/>
          <w:szCs w:val="24"/>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pPr>
        <w:pStyle w:val="20"/>
        <w:bidi w:val="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8.8. </w:t>
      </w:r>
      <w:r>
        <w:rPr>
          <w:rFonts w:hint="default" w:ascii="Times New Roman" w:hAnsi="Times New Roman" w:cs="Times New Roman"/>
          <w:sz w:val="24"/>
          <w:szCs w:val="24"/>
        </w:rPr>
        <w:t>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утверждаются приказом (распоряжением) Учреждения.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9. Антикоррупционное просвещение работников Учреждения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9.2. Антикоррупционное образование работников Учреждения осуществляется за счет Учреждения в форме: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обучения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 по программам дополнительного профессионального образования;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обучающих мероприятий с работниками Учреждения в виде семинаров, тестирования и др.</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9.3.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Учреждении.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 Внутренний контроль и аудит</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10.3. Для реализации мер предупреждения коррупции в Учреждении осуществляются следующие мероприятия внутреннего контроля и аудита: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контроль документирования операций хозяйственной деятельности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перечисленные в разделе 6 настоящего Положения, так и иные правила и процедуры, представленные в Кодексе этики и служебного поведения работников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10.5. Контроль документирования операций хозяйственной деятельности Учреждения прежде всего связан с обязанностью ведения Учреждением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10.6.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оплата услуг, характер которых не определен либо вызывает сомнения;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закупки по ценам, значительно отличающимся от рыночных цен;</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сомнительные платежи наличными денежными средствами.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профилактику коррупционных и иных правонарушений в Учреждении.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противодействия коррупции;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11.5.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12. Ответственность за несоблюдение требований Положения и нарушение антикоррупционного законодательства</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12.2. Руководители структурных подразделений Учреждения являются ответственными за обеспечение контроля соблюдения требований настоящего Положения своими подчиненными.</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13. Заключительные положения</w:t>
      </w:r>
    </w:p>
    <w:p>
      <w:pPr>
        <w:pStyle w:val="20"/>
        <w:bidi w:val="0"/>
        <w:jc w:val="both"/>
        <w:rPr>
          <w:rFonts w:hint="default" w:ascii="Times New Roman" w:hAnsi="Times New Roman" w:cs="Times New Roman"/>
          <w:sz w:val="24"/>
          <w:szCs w:val="24"/>
        </w:rPr>
      </w:pP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13.1. Учреждение осуществляет регулярный мониторинг эффективности реализации антикоррупционной политики Учреждения.</w:t>
      </w:r>
    </w:p>
    <w:p>
      <w:pPr>
        <w:pStyle w:val="20"/>
        <w:bidi w:val="0"/>
        <w:jc w:val="both"/>
        <w:rPr>
          <w:rFonts w:hint="default" w:ascii="Times New Roman" w:hAnsi="Times New Roman" w:cs="Times New Roman"/>
          <w:sz w:val="24"/>
          <w:szCs w:val="24"/>
        </w:rPr>
      </w:pPr>
      <w:r>
        <w:rPr>
          <w:rFonts w:hint="default" w:ascii="Times New Roman" w:hAnsi="Times New Roman" w:cs="Times New Roman"/>
          <w:sz w:val="24"/>
          <w:szCs w:val="24"/>
        </w:rPr>
        <w:t>13.2. Должностное лицо Учреждения, ответственное за профилактику коррупционных и иных правонарушений в Учреждении, готовит отчет о реализации плана мероприятий Учреждения по противодействию коррупции не реже 1 раза в полугодие, представляет его руководителю Учреждения для утверждения. На основании указанного отчета в настоящее Положение и план мероприятий Учреждения по противодействию коррупции могут быть внесены изменения.</w:t>
      </w:r>
    </w:p>
    <w:p>
      <w:pPr>
        <w:pStyle w:val="24"/>
        <w:spacing w:line="360" w:lineRule="auto"/>
        <w:ind w:firstLine="709"/>
        <w:jc w:val="both"/>
        <w:rPr>
          <w:rFonts w:ascii="Times New Roman" w:hAnsi="Times New Roman" w:cs="Times New Roman"/>
          <w:sz w:val="28"/>
          <w:szCs w:val="28"/>
        </w:rPr>
      </w:pPr>
    </w:p>
    <w:p>
      <w:pPr>
        <w:pStyle w:val="24"/>
        <w:spacing w:line="360" w:lineRule="auto"/>
        <w:ind w:firstLine="709"/>
        <w:jc w:val="both"/>
        <w:rPr>
          <w:rFonts w:ascii="Times New Roman" w:hAnsi="Times New Roman" w:cs="Times New Roman"/>
          <w:sz w:val="28"/>
          <w:szCs w:val="28"/>
        </w:rPr>
      </w:pPr>
    </w:p>
    <w:p>
      <w:pPr>
        <w:pStyle w:val="24"/>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s1026" o:spid="_x0000_s1026" o:spt="32" type="#_x0000_t32" style="position:absolute;left:0pt;margin-left:194.4pt;margin-top:-0.15pt;height:0pt;width:73.85pt;z-index:251659264;mso-width-relative:page;mso-height-relative:page;" o:connectortype="straight" filled="f" coordsize="21600,21600">
            <v:path arrowok="t"/>
            <v:fill on="f" focussize="0,0"/>
            <v:stroke/>
            <v:imagedata o:title=""/>
            <o:lock v:ext="edit"/>
          </v:shape>
        </w:pict>
      </w:r>
    </w:p>
    <w:sectPr>
      <w:headerReference r:id="rId5" w:type="default"/>
      <w:footerReference r:id="rId6" w:type="default"/>
      <w:footnotePr>
        <w:numFmt w:val="chicago"/>
      </w:footnotePr>
      <w:pgSz w:w="11906" w:h="16838"/>
      <w:pgMar w:top="1418" w:right="851" w:bottom="780" w:left="1701" w:header="709" w:footer="57"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684617"/>
      <w:docPartObj>
        <w:docPartGallery w:val="autotext"/>
      </w:docPartObj>
    </w:sdtPr>
    <w:sdtContent>
      <w:p>
        <w:pPr>
          <w:pStyle w:val="11"/>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p>
    </w:sdtContent>
  </w:sdt>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numFmt w:val="chicago"/>
    <w:footnote w:id="0"/>
    <w:footnote w:id="1"/>
  </w:footnotePr>
  <w:endnotePr>
    <w:endnote w:id="0"/>
    <w:endnote w:id="1"/>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 w:val="09636EEC"/>
    <w:rsid w:val="118E79C6"/>
    <w:rsid w:val="2DC56FEB"/>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7"/>
    <w:qFormat/>
    <w:uiPriority w:val="0"/>
    <w:pPr>
      <w:keepNext/>
      <w:spacing w:line="260" w:lineRule="exact"/>
      <w:ind w:right="284"/>
      <w:jc w:val="center"/>
      <w:outlineLvl w:val="0"/>
    </w:pPr>
    <w:rPr>
      <w:b/>
      <w:sz w:val="22"/>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endnote reference"/>
    <w:basedOn w:val="3"/>
    <w:semiHidden/>
    <w:unhideWhenUsed/>
    <w:uiPriority w:val="0"/>
    <w:rPr>
      <w:vertAlign w:val="superscript"/>
    </w:rPr>
  </w:style>
  <w:style w:type="character" w:styleId="7">
    <w:name w:val="Hyperlink"/>
    <w:basedOn w:val="3"/>
    <w:semiHidden/>
    <w:unhideWhenUsed/>
    <w:uiPriority w:val="99"/>
    <w:rPr>
      <w:color w:val="0000FF"/>
      <w:u w:val="single"/>
    </w:rPr>
  </w:style>
  <w:style w:type="paragraph" w:styleId="8">
    <w:name w:val="Balloon Text"/>
    <w:basedOn w:val="1"/>
    <w:link w:val="17"/>
    <w:semiHidden/>
    <w:unhideWhenUsed/>
    <w:uiPriority w:val="99"/>
    <w:rPr>
      <w:rFonts w:ascii="Tahoma" w:hAnsi="Tahoma" w:cs="Tahoma"/>
      <w:sz w:val="16"/>
      <w:szCs w:val="16"/>
    </w:rPr>
  </w:style>
  <w:style w:type="paragraph" w:styleId="9">
    <w:name w:val="endnote text"/>
    <w:basedOn w:val="1"/>
    <w:link w:val="28"/>
    <w:semiHidden/>
    <w:unhideWhenUsed/>
    <w:qFormat/>
    <w:uiPriority w:val="0"/>
    <w:rPr>
      <w:sz w:val="20"/>
      <w:szCs w:val="20"/>
    </w:rPr>
  </w:style>
  <w:style w:type="paragraph" w:styleId="10">
    <w:name w:val="footnote text"/>
    <w:basedOn w:val="1"/>
    <w:link w:val="16"/>
    <w:semiHidden/>
    <w:unhideWhenUsed/>
    <w:qFormat/>
    <w:uiPriority w:val="99"/>
    <w:rPr>
      <w:sz w:val="20"/>
      <w:szCs w:val="20"/>
    </w:rPr>
  </w:style>
  <w:style w:type="paragraph" w:styleId="11">
    <w:name w:val="header"/>
    <w:basedOn w:val="1"/>
    <w:link w:val="18"/>
    <w:unhideWhenUsed/>
    <w:uiPriority w:val="99"/>
    <w:pPr>
      <w:tabs>
        <w:tab w:val="center" w:pos="4677"/>
        <w:tab w:val="right" w:pos="9355"/>
      </w:tabs>
    </w:pPr>
  </w:style>
  <w:style w:type="paragraph" w:styleId="12">
    <w:name w:val="Body Text Indent"/>
    <w:basedOn w:val="1"/>
    <w:link w:val="22"/>
    <w:qFormat/>
    <w:uiPriority w:val="0"/>
    <w:pPr>
      <w:ind w:firstLine="720"/>
    </w:pPr>
    <w:rPr>
      <w:sz w:val="28"/>
      <w:szCs w:val="20"/>
      <w:lang w:val="en-US"/>
    </w:rPr>
  </w:style>
  <w:style w:type="paragraph" w:styleId="13">
    <w:name w:val="footer"/>
    <w:basedOn w:val="1"/>
    <w:link w:val="19"/>
    <w:unhideWhenUsed/>
    <w:uiPriority w:val="99"/>
    <w:pPr>
      <w:tabs>
        <w:tab w:val="center" w:pos="4677"/>
        <w:tab w:val="right" w:pos="9355"/>
      </w:tabs>
    </w:pPr>
  </w:style>
  <w:style w:type="paragraph" w:styleId="14">
    <w:name w:val="Normal (Web)"/>
    <w:basedOn w:val="1"/>
    <w:semiHidden/>
    <w:unhideWhenUsed/>
    <w:uiPriority w:val="99"/>
    <w:pPr>
      <w:spacing w:before="100" w:beforeAutospacing="1" w:after="100" w:afterAutospacing="1"/>
    </w:pPr>
  </w:style>
  <w:style w:type="table" w:styleId="15">
    <w:name w:val="Table Grid"/>
    <w:basedOn w:val="4"/>
    <w:uiPriority w:val="39"/>
    <w:pPr>
      <w:spacing w:after="0" w:line="240" w:lineRule="auto"/>
    </w:pPr>
    <w:rPr>
      <w:rFonts w:ascii="Times New Roman" w:hAnsi="Times New Roman" w:cs="Times New Roman"/>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Текст сноски Знак"/>
    <w:basedOn w:val="3"/>
    <w:link w:val="10"/>
    <w:semiHidden/>
    <w:uiPriority w:val="99"/>
    <w:rPr>
      <w:rFonts w:ascii="Times New Roman" w:hAnsi="Times New Roman" w:eastAsia="Times New Roman" w:cs="Times New Roman"/>
      <w:sz w:val="20"/>
      <w:szCs w:val="20"/>
      <w:lang w:eastAsia="ru-RU"/>
    </w:rPr>
  </w:style>
  <w:style w:type="character" w:customStyle="1" w:styleId="17">
    <w:name w:val="Текст выноски Знак"/>
    <w:basedOn w:val="3"/>
    <w:link w:val="8"/>
    <w:semiHidden/>
    <w:uiPriority w:val="99"/>
    <w:rPr>
      <w:rFonts w:ascii="Tahoma" w:hAnsi="Tahoma" w:eastAsia="Times New Roman" w:cs="Tahoma"/>
      <w:sz w:val="16"/>
      <w:szCs w:val="16"/>
      <w:lang w:eastAsia="ru-RU"/>
    </w:rPr>
  </w:style>
  <w:style w:type="character" w:customStyle="1" w:styleId="18">
    <w:name w:val="Верхний колонтитул Знак"/>
    <w:basedOn w:val="3"/>
    <w:link w:val="11"/>
    <w:qFormat/>
    <w:uiPriority w:val="99"/>
    <w:rPr>
      <w:rFonts w:ascii="Times New Roman" w:hAnsi="Times New Roman" w:eastAsia="Times New Roman" w:cs="Times New Roman"/>
      <w:sz w:val="24"/>
      <w:szCs w:val="24"/>
      <w:lang w:eastAsia="ru-RU"/>
    </w:rPr>
  </w:style>
  <w:style w:type="character" w:customStyle="1" w:styleId="19">
    <w:name w:val="Нижний колонтитул Знак"/>
    <w:basedOn w:val="3"/>
    <w:link w:val="13"/>
    <w:uiPriority w:val="99"/>
    <w:rPr>
      <w:rFonts w:ascii="Times New Roman" w:hAnsi="Times New Roman" w:eastAsia="Times New Roman" w:cs="Times New Roman"/>
      <w:sz w:val="24"/>
      <w:szCs w:val="24"/>
      <w:lang w:eastAsia="ru-RU"/>
    </w:rPr>
  </w:style>
  <w:style w:type="paragraph" w:styleId="20">
    <w:name w:val="No Spacing"/>
    <w:qFormat/>
    <w:uiPriority w:val="99"/>
    <w:pPr>
      <w:spacing w:after="0" w:line="240" w:lineRule="auto"/>
    </w:pPr>
    <w:rPr>
      <w:rFonts w:ascii="Times New Roman" w:hAnsi="Times New Roman" w:eastAsia="Times New Roman" w:cs="Times New Roman"/>
      <w:sz w:val="24"/>
      <w:szCs w:val="24"/>
      <w:lang w:val="ru-RU" w:eastAsia="ru-RU" w:bidi="ar-SA"/>
    </w:rPr>
  </w:style>
  <w:style w:type="paragraph" w:customStyle="1" w:styleId="21">
    <w:name w:val="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character" w:customStyle="1" w:styleId="22">
    <w:name w:val="Основной текст с отступом Знак"/>
    <w:basedOn w:val="3"/>
    <w:link w:val="12"/>
    <w:uiPriority w:val="0"/>
    <w:rPr>
      <w:rFonts w:ascii="Times New Roman" w:hAnsi="Times New Roman" w:eastAsia="Times New Roman" w:cs="Times New Roman"/>
      <w:sz w:val="28"/>
      <w:szCs w:val="20"/>
      <w:lang w:val="en-US" w:eastAsia="ru-RU"/>
    </w:rPr>
  </w:style>
  <w:style w:type="paragraph" w:styleId="23">
    <w:name w:val="List Paragraph"/>
    <w:basedOn w:val="1"/>
    <w:qFormat/>
    <w:uiPriority w:val="34"/>
    <w:pPr>
      <w:ind w:left="720"/>
      <w:contextualSpacing/>
    </w:pPr>
  </w:style>
  <w:style w:type="paragraph" w:customStyle="1" w:styleId="24">
    <w:name w:val="ConsPlusNormal"/>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25">
    <w:name w:val="Основной шрифт абзаца1"/>
    <w:uiPriority w:val="0"/>
  </w:style>
  <w:style w:type="paragraph" w:customStyle="1" w:styleId="26">
    <w:name w:val="Standard"/>
    <w:uiPriority w:val="0"/>
    <w:pPr>
      <w:widowControl w:val="0"/>
      <w:suppressAutoHyphens/>
      <w:autoSpaceDN w:val="0"/>
      <w:spacing w:after="0" w:line="240" w:lineRule="auto"/>
      <w:textAlignment w:val="baseline"/>
    </w:pPr>
    <w:rPr>
      <w:rFonts w:ascii="Arial" w:hAnsi="Arial" w:eastAsia="Times New Roman" w:cs="Arial"/>
      <w:sz w:val="20"/>
      <w:szCs w:val="20"/>
      <w:lang w:val="ru-RU" w:eastAsia="zh-CN" w:bidi="ar-SA"/>
    </w:rPr>
  </w:style>
  <w:style w:type="character" w:customStyle="1" w:styleId="27">
    <w:name w:val="Заголовок 1 Знак"/>
    <w:basedOn w:val="3"/>
    <w:link w:val="2"/>
    <w:uiPriority w:val="0"/>
    <w:rPr>
      <w:rFonts w:ascii="Times New Roman" w:hAnsi="Times New Roman" w:eastAsia="Times New Roman" w:cs="Times New Roman"/>
      <w:b/>
      <w:szCs w:val="20"/>
      <w:lang w:eastAsia="ru-RU"/>
    </w:rPr>
  </w:style>
  <w:style w:type="character" w:customStyle="1" w:styleId="28">
    <w:name w:val="Текст концевой сноски Знак"/>
    <w:basedOn w:val="3"/>
    <w:link w:val="9"/>
    <w:semiHidden/>
    <w:uiPriority w:val="0"/>
    <w:rPr>
      <w:rFonts w:ascii="Times New Roman" w:hAnsi="Times New Roman" w:eastAsia="Times New Roman" w:cs="Times New Roman"/>
      <w:sz w:val="20"/>
      <w:szCs w:val="20"/>
      <w:lang w:eastAsia="ru-RU"/>
    </w:rPr>
  </w:style>
  <w:style w:type="paragraph" w:customStyle="1" w:styleId="29">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table" w:customStyle="1" w:styleId="30">
    <w:name w:val="Сетка таблицы9"/>
    <w:basedOn w:val="4"/>
    <w:uiPriority w:val="99"/>
    <w:pPr>
      <w:spacing w:after="0" w:line="240" w:lineRule="auto"/>
      <w:jc w:val="center"/>
    </w:pPr>
    <w:rPr>
      <w:rFonts w:ascii="Calibri" w:hAnsi="Calibri" w:eastAsia="Times New Roman"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E2F08-4B3A-4AE2-9AEB-C12F30DA74C5}">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4137</Words>
  <Characters>23587</Characters>
  <Lines>196</Lines>
  <Paragraphs>55</Paragraphs>
  <TotalTime>18</TotalTime>
  <ScaleCrop>false</ScaleCrop>
  <LinksUpToDate>false</LinksUpToDate>
  <CharactersWithSpaces>27669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2022-07-13T15:14:00Z</dcterms:created>
  <dc:creator>Евгения И. Малыгина</dc:creator>
  <cp:lastModifiedBy>Никита Копысов</cp:lastModifiedBy>
  <cp:lastPrinted>2024-04-08T06:19:00Z</cp:lastPrinted>
  <dcterms:modified xsi:type="dcterms:W3CDTF">2024-04-11T11:41:17Z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6273F0BDCAC847BEB3221B1898977BFA_12</vt:lpwstr>
  </property>
</Properties>
</file>