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en-US"/>
        </w:rPr>
        <w:t xml:space="preserve"> № </w:t>
      </w:r>
      <w:r>
        <w:rPr>
          <w:sz w:val="28"/>
          <w:szCs w:val="28"/>
        </w:rPr>
        <w:t>7</w:t>
      </w:r>
    </w:p>
    <w:p>
      <w:pPr>
        <w:ind w:left="5954"/>
        <w:rPr>
          <w:sz w:val="28"/>
          <w:szCs w:val="28"/>
        </w:rPr>
      </w:pP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6000" w:leftChars="2500" w:firstLine="0" w:firstLineChars="0"/>
        <w:rPr>
          <w:rFonts w:hint="default"/>
          <w:i/>
          <w:sz w:val="22"/>
          <w:szCs w:val="22"/>
          <w:lang w:val="ru-RU"/>
        </w:rPr>
      </w:pPr>
      <w:r>
        <w:rPr>
          <w:sz w:val="22"/>
          <w:szCs w:val="22"/>
        </w:rPr>
        <w:t xml:space="preserve">приказом </w:t>
      </w:r>
      <w:r>
        <w:rPr>
          <w:sz w:val="22"/>
          <w:szCs w:val="22"/>
          <w:lang w:val="ru-RU"/>
        </w:rPr>
        <w:t>МКДОУ</w:t>
      </w:r>
      <w:r>
        <w:rPr>
          <w:rFonts w:hint="default"/>
          <w:sz w:val="22"/>
          <w:szCs w:val="22"/>
          <w:lang w:val="ru-RU"/>
        </w:rPr>
        <w:t xml:space="preserve"> д/с № 1 д.Стулово</w:t>
      </w:r>
    </w:p>
    <w:p>
      <w:pPr>
        <w:ind w:left="595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</w:t>
      </w:r>
      <w:r>
        <w:rPr>
          <w:rFonts w:hint="default"/>
          <w:sz w:val="28"/>
          <w:szCs w:val="28"/>
          <w:lang w:val="ru-RU"/>
        </w:rPr>
        <w:t>05.04.2024</w:t>
      </w:r>
      <w:r>
        <w:rPr>
          <w:sz w:val="28"/>
          <w:szCs w:val="28"/>
        </w:rPr>
        <w:t xml:space="preserve">  № </w:t>
      </w:r>
      <w:r>
        <w:rPr>
          <w:rFonts w:hint="default"/>
          <w:sz w:val="28"/>
          <w:szCs w:val="28"/>
          <w:lang w:val="ru-RU"/>
        </w:rPr>
        <w:t>52</w:t>
      </w:r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>
      <w:pPr>
        <w:pStyle w:val="20"/>
        <w:bidi w:val="0"/>
        <w:jc w:val="both"/>
      </w:pPr>
      <w:r>
        <w:rPr>
          <w:rFonts w:ascii="Times New Roman" w:hAnsi="Times New Roman" w:cs="Times New Roman"/>
          <w:szCs w:val="28"/>
        </w:rPr>
        <w:t xml:space="preserve">1. </w:t>
      </w:r>
      <w:r>
        <w:t xml:space="preserve">Настоящий Порядок сообщения о получении подарка в связи </w:t>
      </w:r>
      <w:r>
        <w:br w:type="textWrapping"/>
      </w:r>
      <w: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работниками </w:t>
      </w:r>
      <w:r>
        <w:rPr>
          <w:rFonts w:hint="default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t>(далее – Учреждение)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>
      <w:pPr>
        <w:pStyle w:val="20"/>
        <w:bidi w:val="0"/>
        <w:jc w:val="both"/>
      </w:pPr>
      <w:r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>
      <w:pPr>
        <w:pStyle w:val="20"/>
        <w:bidi w:val="0"/>
        <w:jc w:val="both"/>
      </w:pPr>
      <w:r>
        <w:t>2. Для целей настоящего Порядка используются следующие понятия:</w:t>
      </w:r>
    </w:p>
    <w:p>
      <w:pPr>
        <w:pStyle w:val="20"/>
        <w:bidi w:val="0"/>
        <w:jc w:val="both"/>
      </w:pPr>
      <w: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>
        <w:br w:type="textWrapping"/>
      </w:r>
      <w: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>
      <w:pPr>
        <w:pStyle w:val="20"/>
        <w:bidi w:val="0"/>
        <w:jc w:val="both"/>
      </w:pPr>
      <w: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20"/>
        <w:bidi w:val="0"/>
        <w:jc w:val="both"/>
      </w:pPr>
      <w:r>
        <w:t>3.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20"/>
        <w:bidi w:val="0"/>
        <w:jc w:val="both"/>
      </w:pPr>
      <w:r>
        <w:t>4.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Учреждение.</w:t>
      </w:r>
    </w:p>
    <w:p>
      <w:pPr>
        <w:pStyle w:val="20"/>
        <w:bidi w:val="0"/>
        <w:jc w:val="both"/>
      </w:pPr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  Учреждение</w:t>
      </w:r>
      <w:r>
        <w:rPr>
          <w:rFonts w:hint="default"/>
          <w:lang w:val="ru-RU"/>
        </w:rPr>
        <w:t xml:space="preserve"> ответственному лицу</w:t>
      </w:r>
      <w:r>
        <w:t xml:space="preserve"> (далее – уполномоченное структурное подразделение/ 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>
      <w:pPr>
        <w:pStyle w:val="20"/>
        <w:bidi w:val="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20"/>
        <w:bidi w:val="0"/>
        <w:jc w:val="both"/>
      </w:pPr>
      <w: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</w:t>
      </w:r>
      <w:r>
        <w:br w:type="textWrapping"/>
      </w:r>
      <w:r>
        <w:t>оно представляется не позднее следующего дня после ее устранения.</w:t>
      </w:r>
    </w:p>
    <w:p>
      <w:pPr>
        <w:pStyle w:val="20"/>
        <w:bidi w:val="0"/>
        <w:jc w:val="both"/>
      </w:pPr>
      <w: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>
      <w:pPr>
        <w:pStyle w:val="20"/>
        <w:bidi w:val="0"/>
        <w:jc w:val="both"/>
      </w:pPr>
      <w: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Учреждения (далее – комиссия).</w:t>
      </w:r>
    </w:p>
    <w:p>
      <w:pPr>
        <w:pStyle w:val="20"/>
        <w:bidi w:val="0"/>
        <w:jc w:val="both"/>
      </w:pPr>
      <w:r>
        <w:t xml:space="preserve">7. Подарок, стоимость которого подтверждается документами </w:t>
      </w:r>
      <w:r>
        <w:br w:type="textWrapping"/>
      </w:r>
      <w:r>
        <w:t xml:space="preserve">и превышает 3 тыс. рублей либо стоимость которого получившим </w:t>
      </w:r>
      <w:r>
        <w:br w:type="textWrapping"/>
      </w:r>
      <w:r>
        <w:t xml:space="preserve">его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</w:t>
      </w:r>
      <w:r>
        <w:br w:type="textWrapping"/>
      </w:r>
      <w:r>
        <w:t>№ 3, не позднее 5 рабочих дней со дня регистрации уведомления в журнале регистрации уведомлений.</w:t>
      </w:r>
    </w:p>
    <w:p>
      <w:pPr>
        <w:pStyle w:val="20"/>
        <w:bidi w:val="0"/>
        <w:jc w:val="both"/>
      </w:pPr>
      <w:r>
        <w:t xml:space="preserve">8. До передачи подарка по акту приема-передачи ответственность </w:t>
      </w:r>
      <w:r>
        <w:br w:type="textWrapping"/>
      </w:r>
      <w:r>
        <w:t xml:space="preserve">в соответствии с законодательством Российской Федерации за утрату </w:t>
      </w:r>
      <w:r>
        <w:br w:type="textWrapping"/>
      </w:r>
      <w:r>
        <w:t>или повреждение подарка несет лицо, получившее подарок.</w:t>
      </w:r>
    </w:p>
    <w:p>
      <w:pPr>
        <w:pStyle w:val="20"/>
        <w:bidi w:val="0"/>
        <w:jc w:val="both"/>
      </w:pPr>
      <w: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br w:type="textWrapping"/>
      </w:r>
      <w:r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>
      <w:pPr>
        <w:pStyle w:val="20"/>
        <w:bidi w:val="0"/>
        <w:jc w:val="both"/>
      </w:pPr>
      <w: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>
        <w:br w:type="textWrapping"/>
      </w:r>
      <w:r>
        <w:t>не превышает 3 тыс. рублей.</w:t>
      </w:r>
    </w:p>
    <w:p>
      <w:pPr>
        <w:pStyle w:val="20"/>
        <w:bidi w:val="0"/>
        <w:jc w:val="both"/>
      </w:pPr>
      <w:r>
        <w:t xml:space="preserve">10. Уполномоченное структурное подразделение/ответственное лицо обеспечивает включение в установленном порядке принятого </w:t>
      </w:r>
      <w:r>
        <w:br w:type="textWrapping"/>
      </w:r>
      <w:r>
        <w:t xml:space="preserve">к бухгалтерскому учету подарка, стоимость которого превышает </w:t>
      </w:r>
      <w:r>
        <w:br w:type="textWrapping"/>
      </w:r>
      <w:r>
        <w:t>3 тыс. рублей, в реестр государственного (муниципального) имущества.</w:t>
      </w:r>
    </w:p>
    <w:p>
      <w:pPr>
        <w:pStyle w:val="20"/>
        <w:bidi w:val="0"/>
        <w:jc w:val="both"/>
      </w:pPr>
      <w:r>
        <w:t>11. Работники, сдавшие подарок, могут его выкупить, направив заявление о выкупе подарка согласно приложению № 5 не позднее двух месяцев со дня сдачи подарка.</w:t>
      </w:r>
    </w:p>
    <w:p>
      <w:pPr>
        <w:pStyle w:val="20"/>
        <w:bidi w:val="0"/>
        <w:jc w:val="both"/>
      </w:pPr>
      <w:r>
        <w:t xml:space="preserve">12. Уполномоченное структурное подразделение/ответственное лицо </w:t>
      </w:r>
      <w:r>
        <w:br w:type="textWrapping"/>
      </w:r>
      <w:r>
        <w:t xml:space="preserve">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>
        <w:br w:type="textWrapping"/>
      </w:r>
      <w: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>
      <w:pPr>
        <w:pStyle w:val="20"/>
        <w:bidi w:val="0"/>
        <w:jc w:val="both"/>
      </w:pPr>
      <w:r>
        <w:t>13. Подарок, в отношении которого не поступило заявление, указанное в пункте 11 настоящего Порядка,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>
      <w:pPr>
        <w:pStyle w:val="20"/>
        <w:bidi w:val="0"/>
        <w:jc w:val="both"/>
      </w:pPr>
      <w:r>
        <w:t>14.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>
      <w:pPr>
        <w:pStyle w:val="20"/>
        <w:bidi w:val="0"/>
        <w:jc w:val="both"/>
      </w:pPr>
      <w: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20"/>
        <w:bidi w:val="0"/>
        <w:jc w:val="both"/>
      </w:pPr>
      <w:r>
        <w:t xml:space="preserve">16. В случае если подарок не выкуплен или не реализован, руководителем Учреждения </w:t>
      </w:r>
      <w:bookmarkStart w:id="1" w:name="_GoBack"/>
      <w:bookmarkEnd w:id="1"/>
      <w: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20"/>
        <w:bidi w:val="0"/>
        <w:jc w:val="both"/>
      </w:pPr>
      <w: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>
      <w:pPr>
        <w:pStyle w:val="20"/>
        <w:bidi w:val="0"/>
      </w:pPr>
    </w:p>
    <w:p>
      <w:pPr>
        <w:spacing w:before="720"/>
        <w:jc w:val="center"/>
      </w:pPr>
    </w:p>
    <w:p>
      <w:pPr>
        <w:spacing w:before="720"/>
        <w:jc w:val="center"/>
      </w:pPr>
    </w:p>
    <w:p>
      <w:pPr>
        <w:spacing w:before="720"/>
        <w:jc w:val="center"/>
      </w:pPr>
    </w:p>
    <w:p>
      <w:pPr>
        <w:spacing w:before="720"/>
        <w:jc w:val="center"/>
      </w:pPr>
    </w:p>
    <w:p>
      <w:pPr>
        <w:spacing w:before="720"/>
        <w:jc w:val="center"/>
      </w:pPr>
    </w:p>
    <w:p>
      <w:pPr>
        <w:spacing w:before="720"/>
        <w:jc w:val="both"/>
      </w:pPr>
    </w:p>
    <w:p>
      <w:pPr>
        <w:ind w:left="5387"/>
      </w:pPr>
    </w:p>
    <w:p>
      <w:pPr>
        <w:ind w:left="5387"/>
      </w:pPr>
    </w:p>
    <w:p>
      <w:pPr>
        <w:ind w:left="7088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>
      <w:pPr>
        <w:ind w:left="7088"/>
        <w:rPr>
          <w:sz w:val="28"/>
          <w:szCs w:val="28"/>
        </w:rPr>
      </w:pPr>
    </w:p>
    <w:p>
      <w:pPr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>
      <w:pPr>
        <w:spacing w:before="480"/>
        <w:jc w:val="center"/>
        <w:rPr>
          <w:b/>
          <w:bCs/>
        </w:rPr>
      </w:pPr>
      <w:r>
        <w:rPr>
          <w:b/>
          <w:bCs/>
        </w:rPr>
        <w:t xml:space="preserve">УВЕДОМЛЕНИЕ </w:t>
      </w:r>
    </w:p>
    <w:p>
      <w:pPr>
        <w:jc w:val="center"/>
        <w:rPr>
          <w:b/>
          <w:bCs/>
        </w:rPr>
      </w:pPr>
      <w:r>
        <w:rPr>
          <w:b/>
          <w:bCs/>
        </w:rPr>
        <w:t>о получении подарка</w:t>
      </w:r>
    </w:p>
    <w:p>
      <w:pPr>
        <w:spacing w:before="480"/>
        <w:ind w:left="4678"/>
        <w:jc w:val="both"/>
        <w:rPr>
          <w:i/>
          <w:sz w:val="22"/>
        </w:rPr>
      </w:pPr>
      <w:r>
        <w:rPr>
          <w:i/>
          <w:sz w:val="22"/>
        </w:rPr>
        <w:t>(Наименование уполномоченного структурного подразделения/наименование должности ответственного лица)</w:t>
      </w:r>
      <w:r>
        <w:rPr>
          <w:sz w:val="22"/>
        </w:rPr>
        <w:t xml:space="preserve"> </w:t>
      </w:r>
      <w:r>
        <w:rPr>
          <w:i/>
          <w:sz w:val="22"/>
        </w:rPr>
        <w:t>(наименование учреждения (организации)</w:t>
      </w:r>
    </w:p>
    <w:p>
      <w:pPr>
        <w:ind w:left="4678"/>
        <w:rPr>
          <w:sz w:val="22"/>
        </w:rPr>
      </w:pPr>
    </w:p>
    <w:p>
      <w:pPr>
        <w:ind w:left="4678"/>
        <w:rPr>
          <w:sz w:val="22"/>
        </w:rPr>
      </w:pPr>
      <w:r>
        <w:rPr>
          <w:sz w:val="22"/>
        </w:rPr>
        <w:pict>
          <v:line id="Прямая соединительная линия 4" o:spid="_x0000_s1045" o:spt="20" style="position:absolute;left:0pt;margin-left:247.9pt;margin-top:11.15pt;height:0pt;width:222.55pt;z-index:251661312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2"/>
        </w:rPr>
        <w:t>от</w:t>
      </w:r>
    </w:p>
    <w:p>
      <w:pPr>
        <w:ind w:left="4678"/>
        <w:rPr>
          <w:sz w:val="22"/>
        </w:rPr>
      </w:pPr>
    </w:p>
    <w:p>
      <w:pPr>
        <w:ind w:left="4678"/>
        <w:rPr>
          <w:sz w:val="22"/>
        </w:rPr>
      </w:pPr>
      <w:r>
        <w:rPr>
          <w:sz w:val="22"/>
        </w:rPr>
        <w:pict>
          <v:line id="Прямая соединительная линия 5" o:spid="_x0000_s1046" o:spt="20" style="position:absolute;left:0pt;margin-left:235.2pt;margin-top:11.2pt;height:0pt;width:235.2pt;z-index:25165926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pPr>
        <w:ind w:left="4678"/>
        <w:jc w:val="center"/>
        <w:rPr>
          <w:vertAlign w:val="superscript"/>
        </w:rPr>
      </w:pPr>
      <w:r>
        <w:rPr>
          <w:vertAlign w:val="superscript"/>
        </w:rPr>
        <w:t>(Ф.И.О. (последнее – при наличии), занимаемая должность)</w:t>
      </w:r>
    </w:p>
    <w:p>
      <w:pPr>
        <w:ind w:left="4678"/>
        <w:jc w:val="center"/>
        <w:rPr>
          <w:sz w:val="2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-253" w:firstLine="253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>
      <w:pPr>
        <w:ind w:firstLine="567"/>
        <w:rPr>
          <w:sz w:val="22"/>
        </w:rPr>
      </w:pPr>
    </w:p>
    <w:p>
      <w:pPr>
        <w:ind w:firstLine="567"/>
        <w:rPr>
          <w:sz w:val="22"/>
        </w:rPr>
      </w:pPr>
      <w:r>
        <w:rPr>
          <w:sz w:val="22"/>
        </w:rPr>
        <w:pict>
          <v:line id="Прямая соединительная линия 6" o:spid="_x0000_s1047" o:spt="20" style="position:absolute;left:0pt;margin-left:139.2pt;margin-top:11.85pt;height:0pt;width:331.3pt;z-index:25166233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2"/>
        </w:rPr>
        <w:t xml:space="preserve">Извещаю о получении </w:t>
      </w:r>
    </w:p>
    <w:p>
      <w:pPr>
        <w:ind w:firstLine="5670"/>
        <w:rPr>
          <w:vertAlign w:val="superscript"/>
        </w:rPr>
      </w:pPr>
      <w:r>
        <w:rPr>
          <w:vertAlign w:val="superscript"/>
        </w:rPr>
        <w:t>(дата получения)</w:t>
      </w:r>
    </w:p>
    <w:p>
      <w:pPr>
        <w:rPr>
          <w:sz w:val="22"/>
        </w:rPr>
      </w:pPr>
      <w:r>
        <w:rPr>
          <w:sz w:val="22"/>
        </w:rPr>
        <w:pict>
          <v:line id="Прямая соединительная линия 7" o:spid="_x0000_s1048" o:spt="20" style="position:absolute;left:0pt;margin-left:71.7pt;margin-top:12.35pt;height:0pt;width:398.7pt;z-index:25166336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sz w:val="22"/>
        </w:rPr>
        <w:t xml:space="preserve">подарка(ов) на </w:t>
      </w:r>
    </w:p>
    <w:p>
      <w:pPr>
        <w:ind w:left="2977" w:hanging="425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</w:t>
      </w:r>
      <w:r>
        <w:rPr>
          <w:sz w:val="20"/>
        </w:rPr>
        <w:br w:type="textWrapping"/>
      </w:r>
      <w:r>
        <w:rPr>
          <w:sz w:val="20"/>
        </w:rPr>
        <w:t>другого официального мероприятия, место и дата проведения)</w:t>
      </w:r>
    </w:p>
    <w:p>
      <w:pPr>
        <w:ind w:left="2977" w:hanging="425"/>
        <w:rPr>
          <w:sz w:val="22"/>
        </w:rPr>
      </w:pPr>
    </w:p>
    <w:tbl>
      <w:tblPr>
        <w:tblStyle w:val="4"/>
        <w:tblW w:w="9519" w:type="dxa"/>
        <w:tblInd w:w="-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9"/>
        <w:gridCol w:w="3435"/>
        <w:gridCol w:w="141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</w:trPr>
        <w:tc>
          <w:tcPr>
            <w:tcW w:w="2689" w:type="dxa"/>
          </w:tcPr>
          <w:p>
            <w:pPr>
              <w:jc w:val="center"/>
            </w:pPr>
            <w:r>
              <w:rPr>
                <w:sz w:val="22"/>
              </w:rPr>
              <w:t xml:space="preserve">Наименование </w:t>
            </w:r>
            <w:r>
              <w:rPr>
                <w:sz w:val="22"/>
                <w:lang w:val="en-US"/>
              </w:rPr>
              <w:br w:type="textWrapping"/>
            </w:r>
            <w:r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>
            <w:pPr>
              <w:jc w:val="center"/>
            </w:pPr>
            <w:r>
              <w:rPr>
                <w:sz w:val="22"/>
              </w:rPr>
              <w:t xml:space="preserve">Характеристика подарка, </w:t>
            </w:r>
            <w:r>
              <w:rPr>
                <w:sz w:val="22"/>
                <w:lang w:val="en-US"/>
              </w:rPr>
              <w:br w:type="textWrapping"/>
            </w:r>
            <w:r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>
            <w:pPr>
              <w:jc w:val="center"/>
            </w:pPr>
            <w:r>
              <w:rPr>
                <w:sz w:val="22"/>
              </w:rPr>
              <w:t xml:space="preserve">Количество </w:t>
            </w:r>
          </w:p>
          <w:p>
            <w:pPr>
              <w:jc w:val="center"/>
            </w:pPr>
            <w:r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>
            <w:pPr>
              <w:jc w:val="center"/>
            </w:pPr>
            <w:r>
              <w:rPr>
                <w:sz w:val="22"/>
              </w:rPr>
              <w:t xml:space="preserve">Стоимость подарка, </w:t>
            </w:r>
          </w:p>
          <w:p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</w:trPr>
        <w:tc>
          <w:tcPr>
            <w:tcW w:w="2689" w:type="dxa"/>
          </w:tcPr>
          <w:p>
            <w:r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</w:trPr>
        <w:tc>
          <w:tcPr>
            <w:tcW w:w="2689" w:type="dxa"/>
          </w:tcPr>
          <w:p>
            <w:r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" w:hRule="atLeast"/>
        </w:trPr>
        <w:tc>
          <w:tcPr>
            <w:tcW w:w="2689" w:type="dxa"/>
          </w:tcPr>
          <w:p>
            <w:r>
              <w:rPr>
                <w:sz w:val="22"/>
              </w:rPr>
              <w:t>3.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0" w:hRule="atLeast"/>
        </w:trPr>
        <w:tc>
          <w:tcPr>
            <w:tcW w:w="2689" w:type="dxa"/>
          </w:tcPr>
          <w:p>
            <w:r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/>
        </w:tc>
        <w:tc>
          <w:tcPr>
            <w:tcW w:w="1410" w:type="dxa"/>
          </w:tcPr>
          <w:p>
            <w:pPr>
              <w:jc w:val="center"/>
            </w:pPr>
          </w:p>
        </w:tc>
        <w:tc>
          <w:tcPr>
            <w:tcW w:w="1985" w:type="dxa"/>
          </w:tcPr>
          <w:p>
            <w:pPr>
              <w:jc w:val="center"/>
            </w:pPr>
          </w:p>
        </w:tc>
      </w:tr>
    </w:tbl>
    <w:p>
      <w:pPr>
        <w:rPr>
          <w:sz w:val="22"/>
        </w:rPr>
      </w:pPr>
    </w:p>
    <w:tbl>
      <w:tblPr>
        <w:tblStyle w:val="4"/>
        <w:tblW w:w="9524" w:type="dxa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4"/>
        <w:gridCol w:w="5923"/>
        <w:gridCol w:w="567"/>
        <w:gridCol w:w="709"/>
        <w:gridCol w:w="851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</w:pPr>
            <w:r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 w:right="-311"/>
            </w:pPr>
            <w:r>
              <w:rPr>
                <w:sz w:val="22"/>
              </w:rPr>
              <w:t>листах.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 w:hRule="atLeast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sz w:val="22"/>
        </w:rPr>
      </w:pPr>
    </w:p>
    <w:tbl>
      <w:tblPr>
        <w:tblStyle w:val="4"/>
        <w:tblW w:w="9524" w:type="dxa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 xml:space="preserve">Лицо, представившее </w:t>
            </w:r>
          </w:p>
          <w:p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sz w:val="10"/>
        </w:rPr>
      </w:pPr>
    </w:p>
    <w:tbl>
      <w:tblPr>
        <w:tblStyle w:val="4"/>
        <w:tblW w:w="9524" w:type="dxa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 xml:space="preserve">Лицо, принявшее </w:t>
            </w:r>
          </w:p>
          <w:p>
            <w:r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rPr>
          <w:sz w:val="22"/>
        </w:rPr>
      </w:pPr>
    </w:p>
    <w:p>
      <w:pPr>
        <w:rPr>
          <w:sz w:val="22"/>
        </w:rPr>
      </w:pPr>
      <w:r>
        <w:rPr>
          <w:sz w:val="22"/>
        </w:rPr>
        <w:t xml:space="preserve">Регистрационный номер в журнале регистрации уведомлений  </w:t>
      </w:r>
    </w:p>
    <w:p>
      <w:pPr>
        <w:rPr>
          <w:sz w:val="22"/>
        </w:rPr>
      </w:pPr>
      <w:r>
        <w:rPr>
          <w:sz w:val="22"/>
        </w:rPr>
        <w:pict>
          <v:line id="Прямая соединительная линия 8" o:spid="_x0000_s1049" o:spt="20" style="position:absolute;left:0pt;margin-left:297.45pt;margin-top:0.8pt;height:0pt;width:173.05pt;z-index:25166438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tbl>
      <w:tblPr>
        <w:tblStyle w:val="4"/>
        <w:tblW w:w="0" w:type="auto"/>
        <w:tblInd w:w="-26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r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</w:pPr>
            <w:r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left="57"/>
            </w:pPr>
            <w:r>
              <w:rPr>
                <w:sz w:val="22"/>
              </w:rPr>
              <w:t>г.</w:t>
            </w:r>
          </w:p>
        </w:tc>
      </w:tr>
    </w:tbl>
    <w:p>
      <w:pPr>
        <w:pStyle w:val="9"/>
        <w:rPr>
          <w:sz w:val="24"/>
          <w:szCs w:val="24"/>
        </w:rPr>
      </w:pPr>
    </w:p>
    <w:p>
      <w:pPr>
        <w:pStyle w:val="9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Прямая со стрелкой 3" o:spid="_x0000_s1044" o:spt="32" type="#_x0000_t32" style="position:absolute;left:0pt;margin-left:-0.35pt;margin-top:13.25pt;height:0pt;width:85.0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>
            <v:path arrowok="t"/>
            <v:fill on="f" focussize="0,0"/>
            <v:stroke/>
            <v:imagedata o:title=""/>
            <o:lock v:ext="edit"/>
          </v:shape>
        </w:pict>
      </w:r>
    </w:p>
    <w:p>
      <w:pPr>
        <w:pStyle w:val="9"/>
        <w:rPr>
          <w:szCs w:val="24"/>
        </w:rPr>
      </w:pPr>
      <w:r>
        <w:rPr>
          <w:rStyle w:val="6"/>
          <w:sz w:val="28"/>
          <w:szCs w:val="24"/>
        </w:rPr>
        <w:t>*</w:t>
      </w:r>
      <w:r>
        <w:rPr>
          <w:szCs w:val="24"/>
        </w:rPr>
        <w:t xml:space="preserve"> Заполняется при наличии документов, подтверждающих стоимость подарка.</w:t>
      </w: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ind w:firstLine="723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9"/>
        <w:ind w:firstLine="7230"/>
        <w:rPr>
          <w:sz w:val="28"/>
          <w:szCs w:val="28"/>
        </w:rPr>
      </w:pPr>
    </w:p>
    <w:p>
      <w:pPr>
        <w:pStyle w:val="9"/>
        <w:ind w:firstLine="7230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>
      <w:pPr>
        <w:pStyle w:val="9"/>
        <w:rPr>
          <w:sz w:val="24"/>
          <w:szCs w:val="24"/>
        </w:rPr>
      </w:pPr>
    </w:p>
    <w:p>
      <w:pPr>
        <w:pStyle w:val="9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ЖУРНАЛ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регистрации уведомлений о получении подарков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Style w:val="4"/>
        <w:tblW w:w="9726" w:type="dxa"/>
        <w:tblInd w:w="0" w:type="dxa"/>
        <w:tblLayout w:type="fixed"/>
        <w:tblCellMar>
          <w:top w:w="28" w:type="dxa"/>
          <w:left w:w="62" w:type="dxa"/>
          <w:bottom w:w="28" w:type="dxa"/>
          <w:right w:w="62" w:type="dxa"/>
        </w:tblCellMar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Ф.И.О. (послед-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Сто-имость подар-ка, рублей*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Подпись лица, предста-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Ф.И.О. (послед-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приняв-шего уведом-ление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Подпись лица, приняв-шего уведом-ление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уведомле-ния ответ-ственному лицу</w:t>
            </w:r>
          </w:p>
        </w:tc>
      </w:tr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>
        <w:tblPrEx>
          <w:tblCellMar>
            <w:top w:w="28" w:type="dxa"/>
            <w:left w:w="62" w:type="dxa"/>
            <w:bottom w:w="28" w:type="dxa"/>
            <w:right w:w="62" w:type="dxa"/>
          </w:tblCellMar>
        </w:tblPrEx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 Заполняется при наличии документов, подтверждающих стоимость подарка.</w:t>
      </w: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p>
      <w:pPr>
        <w:pStyle w:val="9"/>
        <w:rPr>
          <w:szCs w:val="24"/>
        </w:rPr>
      </w:pPr>
    </w:p>
    <w:tbl>
      <w:tblPr>
        <w:tblStyle w:val="4"/>
        <w:tblW w:w="4110" w:type="dxa"/>
        <w:tblInd w:w="55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</w:tblGrid>
      <w:tr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</w:p>
        </w:tc>
      </w:tr>
    </w:tbl>
    <w:p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>
      <w:pPr>
        <w:spacing w:before="480" w:after="480"/>
        <w:jc w:val="both"/>
      </w:pPr>
      <w:r>
        <w:t>«___» _________ 20__ года                                                                                        № _______</w:t>
      </w:r>
    </w:p>
    <w:tbl>
      <w:tblPr>
        <w:tblStyle w:val="15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644"/>
        <w:gridCol w:w="3686"/>
        <w:gridCol w:w="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jc w:val="both"/>
              <w:rPr>
                <w:sz w:val="24"/>
                <w:szCs w:val="24"/>
              </w:rPr>
            </w:pPr>
            <w:r>
              <w:tab/>
            </w:r>
            <w:r>
              <w:rPr>
                <w:sz w:val="24"/>
                <w:szCs w:val="24"/>
              </w:rPr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63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(последнее – при наличии),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464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4"/>
          </w:tcPr>
          <w:p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сдал, 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(Ф.И.О. (последнее – при наличии),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464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9323" w:type="dxa"/>
            <w:gridSpan w:val="3"/>
          </w:tcPr>
          <w:p>
            <w:pPr>
              <w:ind w:left="-108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>
      <w:pPr>
        <w:jc w:val="center"/>
      </w:pPr>
    </w:p>
    <w:tbl>
      <w:tblPr>
        <w:tblStyle w:val="1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918"/>
        <w:gridCol w:w="1540"/>
        <w:gridCol w:w="2667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подарка, рублей*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1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15"/>
        <w:gridCol w:w="2567"/>
        <w:gridCol w:w="1276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vMerge w:val="restart"/>
          </w:tcPr>
          <w:p>
            <w:pPr>
              <w:jc w:val="center"/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/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>
      <w:pPr>
        <w:spacing w:before="480"/>
      </w:pPr>
      <w:r>
        <w:t>__________</w:t>
      </w:r>
    </w:p>
    <w:p>
      <w:pPr>
        <w:ind w:right="-141"/>
        <w:jc w:val="both"/>
        <w:rPr>
          <w:sz w:val="20"/>
        </w:rPr>
      </w:pPr>
      <w:r>
        <w:rPr>
          <w:sz w:val="20"/>
        </w:rPr>
        <w:t>* Заполняется при наличии документов, подтверждающих стоимость подарка.</w:t>
      </w:r>
    </w:p>
    <w:tbl>
      <w:tblPr>
        <w:tblStyle w:val="4"/>
        <w:tblW w:w="4110" w:type="dxa"/>
        <w:tblInd w:w="552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</w:p>
        </w:tc>
      </w:tr>
    </w:tbl>
    <w:p>
      <w:pPr>
        <w:spacing w:before="480"/>
        <w:ind w:left="567" w:right="510"/>
        <w:jc w:val="center"/>
        <w:rPr>
          <w:b/>
        </w:rPr>
      </w:pPr>
      <w:r>
        <w:rPr>
          <w:b/>
        </w:rPr>
        <w:t>АКТ</w:t>
      </w:r>
    </w:p>
    <w:p>
      <w:pPr>
        <w:ind w:left="567" w:right="510"/>
        <w:jc w:val="center"/>
        <w:rPr>
          <w:b/>
        </w:rPr>
      </w:pPr>
      <w:r>
        <w:rPr>
          <w:b/>
        </w:rPr>
        <w:t>возврата подарка</w:t>
      </w:r>
    </w:p>
    <w:p>
      <w:pPr>
        <w:spacing w:before="480" w:after="480"/>
        <w:jc w:val="both"/>
      </w:pPr>
      <w:r>
        <w:t>«___» _________ 20__ г.                                                                                               № _______</w:t>
      </w:r>
    </w:p>
    <w:tbl>
      <w:tblPr>
        <w:tblStyle w:val="15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06" w:type="dxa"/>
            <w:gridSpan w:val="2"/>
          </w:tcPr>
          <w:p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Ответственное лицо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085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52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108" w:firstLine="108"/>
              <w:jc w:val="center"/>
            </w:pPr>
            <w:r>
              <w:rPr>
                <w:vertAlign w:val="superscript"/>
              </w:rPr>
              <w:t>(Ф.И.О. (последнее – при наличии),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9606" w:type="dxa"/>
            <w:gridSpan w:val="2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bottom w:val="single" w:color="auto" w:sz="4" w:space="0"/>
            </w:tcBorders>
          </w:tcPr>
          <w:p>
            <w:pPr>
              <w:ind w:left="-108"/>
              <w:rPr>
                <w:vertAlign w:val="sub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  <w:tcBorders>
              <w:top w:val="single" w:color="auto" w:sz="4" w:space="0"/>
            </w:tcBorders>
          </w:tcPr>
          <w:p>
            <w:pPr>
              <w:ind w:left="-108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(последнее – при наличии), занимаемая должность)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ind w:left="-108"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подарок, переданный по акту приема-передачи подарка от «____» ________ 20__ г. № ____.</w:t>
            </w:r>
            <w:r>
              <w:rPr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6" w:type="dxa"/>
            <w:gridSpan w:val="2"/>
          </w:tcPr>
          <w:p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jc w:val="center"/>
      </w:pPr>
    </w:p>
    <w:tbl>
      <w:tblPr>
        <w:tblStyle w:val="15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515"/>
        <w:gridCol w:w="2567"/>
        <w:gridCol w:w="1276"/>
        <w:gridCol w:w="29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276" w:type="dxa"/>
            <w:vMerge w:val="restart"/>
          </w:tcPr>
          <w:p>
            <w:pPr>
              <w:jc w:val="center"/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ind w:left="-108"/>
            </w:pPr>
          </w:p>
        </w:tc>
        <w:tc>
          <w:tcPr>
            <w:tcW w:w="1515" w:type="dxa"/>
            <w:vMerge w:val="continue"/>
          </w:tcPr>
          <w:p>
            <w:pPr>
              <w:jc w:val="center"/>
            </w:pPr>
          </w:p>
        </w:tc>
        <w:tc>
          <w:tcPr>
            <w:tcW w:w="2567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color="auto" w:sz="4" w:space="0"/>
            </w:tcBorders>
          </w:tcPr>
          <w:p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</w:tbl>
    <w:p>
      <w:r>
        <w:br w:type="page"/>
      </w:r>
    </w:p>
    <w:tbl>
      <w:tblPr>
        <w:tblStyle w:val="4"/>
        <w:tblW w:w="4253" w:type="dxa"/>
        <w:tblInd w:w="524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к Порядку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4253" w:type="dxa"/>
            <w:shd w:val="clear" w:color="auto" w:fill="auto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Ф.И.О. (последнее – при наличии) представителя нанимателя</w:t>
            </w:r>
            <w:r>
              <w:rPr>
                <w:rStyle w:val="5"/>
                <w:bCs/>
                <w:sz w:val="18"/>
              </w:rPr>
              <w:footnoteReference w:id="0" w:customMarkFollows="1"/>
              <w:t>*</w:t>
            </w:r>
            <w:r>
              <w:rPr>
                <w:bCs/>
                <w:sz w:val="1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253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18"/>
              </w:rPr>
              <w:t>(должность, Ф.И.О. (последнее – при наличии) работника)</w:t>
            </w:r>
          </w:p>
        </w:tc>
      </w:tr>
    </w:tbl>
    <w:p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>ЗАЯВЛЕНИЕ</w:t>
      </w:r>
    </w:p>
    <w:p>
      <w:pPr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  <w:bCs/>
        </w:rPr>
        <w:t>о выкупе подарка</w:t>
      </w:r>
    </w:p>
    <w:p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>
        <w:t>Прошу рассмотреть вопрос о возможности выкупа мною подарка (подарков), полученного (полученных) в связи</w:t>
      </w:r>
    </w:p>
    <w:tbl>
      <w:tblPr>
        <w:tblStyle w:val="4"/>
        <w:tblW w:w="95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5598"/>
        <w:gridCol w:w="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right="459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b/>
                <w:vertAlign w:val="subscript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  <w:ind w:firstLine="709"/>
      </w:pPr>
      <w:r>
        <w:t>Подарок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7655"/>
      </w:tblGrid>
      <w:tr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>
      <w:pPr>
        <w:jc w:val="both"/>
      </w:pPr>
      <w:r>
        <w:t xml:space="preserve">сдан на хранение в </w:t>
      </w:r>
      <w:r>
        <w:rPr>
          <w:i/>
        </w:rPr>
        <w:t>(наименование уполномоченного структурного подразделения/наименование должности ответственного лица)</w:t>
      </w:r>
      <w:r>
        <w:t xml:space="preserve"> </w:t>
      </w:r>
      <w:r>
        <w:rPr>
          <w:i/>
        </w:rPr>
        <w:t>(наименование учреждения (организации)</w:t>
      </w:r>
      <w:r>
        <w:t xml:space="preserve"> в установленном порядке по акту приема-передачи от ____________ № ___________.</w:t>
      </w: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p>
      <w:pPr>
        <w:autoSpaceDE w:val="0"/>
        <w:autoSpaceDN w:val="0"/>
        <w:adjustRightInd w:val="0"/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441"/>
        <w:gridCol w:w="2323"/>
        <w:gridCol w:w="708"/>
        <w:gridCol w:w="2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>
            <w: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/>
        </w:tc>
        <w:tc>
          <w:tcPr>
            <w:tcW w:w="2323" w:type="dxa"/>
            <w:tcBorders>
              <w:bottom w:val="single" w:color="auto" w:sz="4" w:space="0"/>
            </w:tcBorders>
            <w:shd w:val="clear" w:color="auto" w:fill="auto"/>
          </w:tcPr>
          <w:p/>
        </w:tc>
        <w:tc>
          <w:tcPr>
            <w:tcW w:w="708" w:type="dxa"/>
            <w:shd w:val="clear" w:color="auto" w:fill="auto"/>
          </w:tcPr>
          <w:p/>
        </w:tc>
        <w:tc>
          <w:tcPr>
            <w:tcW w:w="2498" w:type="dxa"/>
            <w:tcBorders>
              <w:bottom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shd w:val="clear" w:color="auto" w:fill="auto"/>
          </w:tcPr>
          <w:p/>
        </w:tc>
        <w:tc>
          <w:tcPr>
            <w:tcW w:w="441" w:type="dxa"/>
            <w:shd w:val="clear" w:color="auto" w:fill="auto"/>
          </w:tcPr>
          <w:p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(подпись работника)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before="40"/>
            </w:pPr>
          </w:p>
        </w:tc>
        <w:tc>
          <w:tcPr>
            <w:tcW w:w="249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="40"/>
              <w:jc w:val="center"/>
            </w:pPr>
            <w:r>
              <w:rPr>
                <w:sz w:val="18"/>
              </w:rPr>
              <w:t>(Ф.И.О. (последнее – при наличии) работника)</w:t>
            </w:r>
          </w:p>
        </w:tc>
      </w:tr>
    </w:tbl>
    <w:p>
      <w:pPr>
        <w:pStyle w:val="24"/>
        <w:spacing w:line="360" w:lineRule="auto"/>
        <w:ind w:firstLine="709"/>
        <w:jc w:val="both"/>
        <w:rPr>
          <w:sz w:val="28"/>
          <w:szCs w:val="28"/>
        </w:rPr>
      </w:pPr>
    </w:p>
    <w:sectPr>
      <w:headerReference r:id="rId5" w:type="default"/>
      <w:footerReference r:id="rId6" w:type="default"/>
      <w:footnotePr>
        <w:numFmt w:val="chicago"/>
      </w:footnotePr>
      <w:pgSz w:w="11906" w:h="16838"/>
      <w:pgMar w:top="1418" w:right="851" w:bottom="1134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10"/>
        <w:jc w:val="both"/>
      </w:pPr>
      <w:r>
        <w:rPr>
          <w:rStyle w:val="5"/>
        </w:rPr>
        <w:t>*</w:t>
      </w:r>
      <w: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both"/>
      </w:pPr>
    </w:p>
    <w:p>
      <w:pPr>
        <w:pStyle w:val="10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3068461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11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numFmt w:val="chicago"/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  <w:rsid w:val="5FEB5C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qFormat/>
    <w:uiPriority w:val="99"/>
    <w:rPr>
      <w:vertAlign w:val="superscript"/>
    </w:rPr>
  </w:style>
  <w:style w:type="character" w:styleId="6">
    <w:name w:val="endnote reference"/>
    <w:basedOn w:val="3"/>
    <w:semiHidden/>
    <w:unhideWhenUsed/>
    <w:qFormat/>
    <w:uiPriority w:val="0"/>
    <w:rPr>
      <w:vertAlign w:val="superscript"/>
    </w:rPr>
  </w:style>
  <w:style w:type="character" w:styleId="7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7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qFormat/>
    <w:uiPriority w:val="0"/>
    <w:rPr>
      <w:sz w:val="20"/>
      <w:szCs w:val="20"/>
    </w:rPr>
  </w:style>
  <w:style w:type="paragraph" w:styleId="10">
    <w:name w:val="footnote text"/>
    <w:basedOn w:val="1"/>
    <w:link w:val="16"/>
    <w:semiHidden/>
    <w:unhideWhenUsed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qFormat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сноски Знак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autoRedefine/>
    <w:qFormat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6"/>
    <customShpInfo spid="_x0000_s1047"/>
    <customShpInfo spid="_x0000_s1048"/>
    <customShpInfo spid="_x0000_s1049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85AEE-9A0F-4531-9249-C0F2A7E6A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1855</Words>
  <Characters>10580</Characters>
  <Lines>88</Lines>
  <Paragraphs>24</Paragraphs>
  <TotalTime>838</TotalTime>
  <ScaleCrop>false</ScaleCrop>
  <LinksUpToDate>false</LinksUpToDate>
  <CharactersWithSpaces>12411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2022-07-13T15:14:00Z</dcterms:created>
  <dc:creator>Евгения И. Малыгина</dc:creator>
  <cp:lastModifiedBy>Никита Копысов</cp:lastModifiedBy>
  <cp:lastPrinted>2024-04-11T08:01:45Z</cp:lastPrinted>
  <dcterms:modified xsi:type="dcterms:W3CDTF">2024-04-11T08:04:21Z</dcterms:modified>
  <cp:revision>266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74FF15939AF848F5B4930D3B2EF25574_12</vt:lpwstr>
  </property>
</Properties>
</file>